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FB" w:rsidRPr="001D3D1A" w:rsidRDefault="00D2610E" w:rsidP="00DA0DFB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-62865</wp:posOffset>
            </wp:positionV>
            <wp:extent cx="479425" cy="474980"/>
            <wp:effectExtent l="0" t="0" r="0" b="0"/>
            <wp:wrapNone/>
            <wp:docPr id="5" name="Picture 1" descr="Description: C:\Users\ece-dpt\Desktop\GC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ce-dpt\Desktop\GCE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0F" w:rsidRPr="001D3D1A">
        <w:rPr>
          <w:rFonts w:ascii="Times New Roman" w:hAnsi="Times New Roman"/>
          <w:b/>
          <w:sz w:val="42"/>
          <w:szCs w:val="42"/>
        </w:rPr>
        <w:t xml:space="preserve">Geethanjali College of Engineering and Technology </w:t>
      </w:r>
    </w:p>
    <w:p w:rsidR="00DA0DFB" w:rsidRDefault="00151846" w:rsidP="00D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(UGC Autonomous)</w:t>
      </w:r>
    </w:p>
    <w:p w:rsidR="00151846" w:rsidRPr="00151846" w:rsidRDefault="00151846" w:rsidP="00DA0DFB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151846">
        <w:rPr>
          <w:rFonts w:ascii="Arial Narrow" w:hAnsi="Arial Narrow"/>
          <w:b/>
          <w:szCs w:val="24"/>
        </w:rPr>
        <w:t>(Accredited with NAAC with ‘A+’ grade &amp; NBA Approved by AICTE and Permanently affiliated to JNTUH)</w:t>
      </w:r>
    </w:p>
    <w:p w:rsidR="00FB539E" w:rsidRDefault="00D2610E" w:rsidP="00151846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241935</wp:posOffset>
                </wp:positionV>
                <wp:extent cx="6887845" cy="0"/>
                <wp:effectExtent l="8255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C8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4.6pt;margin-top:19.05pt;width:54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eu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"/>
            </w:pict>
          </mc:Fallback>
        </mc:AlternateContent>
      </w:r>
      <w:r w:rsidR="00151846" w:rsidRPr="00151846">
        <w:rPr>
          <w:sz w:val="24"/>
        </w:rPr>
        <w:t>Cheeryal(V), Keesara(M), Medchal Dist., Telangana State- 501301</w:t>
      </w:r>
    </w:p>
    <w:p w:rsidR="001D3D1A" w:rsidRPr="003E7A6F" w:rsidRDefault="00AA5DC9" w:rsidP="003E7A6F">
      <w:pPr>
        <w:spacing w:after="0"/>
        <w:rPr>
          <w:rFonts w:ascii="Times New Roman" w:hAnsi="Times New Roman"/>
          <w:sz w:val="28"/>
          <w:szCs w:val="28"/>
        </w:rPr>
      </w:pPr>
      <w:r w:rsidRPr="003E7A6F">
        <w:rPr>
          <w:rFonts w:ascii="Times New Roman" w:hAnsi="Times New Roman"/>
          <w:sz w:val="24"/>
        </w:rPr>
        <w:t xml:space="preserve">Ref: </w:t>
      </w:r>
      <w:r w:rsidR="003E7A6F" w:rsidRPr="003E7A6F">
        <w:rPr>
          <w:rFonts w:ascii="Times New Roman" w:hAnsi="Times New Roman"/>
          <w:sz w:val="24"/>
        </w:rPr>
        <w:t>ECE</w:t>
      </w:r>
      <w:r w:rsidR="00EE6230" w:rsidRPr="003E7A6F">
        <w:rPr>
          <w:rFonts w:ascii="Times New Roman" w:hAnsi="Times New Roman"/>
          <w:sz w:val="24"/>
        </w:rPr>
        <w:t xml:space="preserve"> </w:t>
      </w:r>
      <w:r w:rsidR="007233C4" w:rsidRPr="003E7A6F">
        <w:rPr>
          <w:rFonts w:ascii="Times New Roman" w:hAnsi="Times New Roman"/>
          <w:sz w:val="24"/>
        </w:rPr>
        <w:t>/20</w:t>
      </w:r>
      <w:r w:rsidR="005462C0" w:rsidRPr="003E7A6F">
        <w:rPr>
          <w:rFonts w:ascii="Times New Roman" w:hAnsi="Times New Roman"/>
          <w:sz w:val="24"/>
        </w:rPr>
        <w:t>24/</w:t>
      </w:r>
      <w:r w:rsidR="003E7A6F" w:rsidRPr="003E7A6F">
        <w:rPr>
          <w:rFonts w:ascii="Times New Roman" w:hAnsi="Times New Roman"/>
          <w:sz w:val="24"/>
        </w:rPr>
        <w:t>01</w:t>
      </w:r>
      <w:r w:rsidR="005462C0" w:rsidRPr="00976968">
        <w:rPr>
          <w:rFonts w:ascii="Times New Roman" w:hAnsi="Times New Roman"/>
          <w:color w:val="C0504D"/>
          <w:sz w:val="24"/>
        </w:rPr>
        <w:t xml:space="preserve"> </w:t>
      </w:r>
      <w:r w:rsidR="005462C0">
        <w:rPr>
          <w:rFonts w:ascii="Times New Roman" w:hAnsi="Times New Roman"/>
          <w:sz w:val="24"/>
        </w:rPr>
        <w:t xml:space="preserve"> </w:t>
      </w:r>
      <w:r w:rsidRPr="00AA5DC9">
        <w:rPr>
          <w:rFonts w:ascii="Times New Roman" w:hAnsi="Times New Roman"/>
          <w:sz w:val="24"/>
        </w:rPr>
        <w:tab/>
      </w:r>
      <w:r w:rsidRPr="00AA5DC9">
        <w:rPr>
          <w:rFonts w:ascii="Times New Roman" w:hAnsi="Times New Roman"/>
          <w:sz w:val="24"/>
        </w:rPr>
        <w:tab/>
      </w:r>
      <w:r w:rsidRPr="00AA5DC9">
        <w:rPr>
          <w:rFonts w:ascii="Times New Roman" w:hAnsi="Times New Roman"/>
          <w:sz w:val="24"/>
        </w:rPr>
        <w:tab/>
      </w:r>
      <w:r w:rsidRPr="00AA5DC9">
        <w:rPr>
          <w:rFonts w:ascii="Times New Roman" w:hAnsi="Times New Roman"/>
          <w:sz w:val="24"/>
        </w:rPr>
        <w:tab/>
        <w:t xml:space="preserve">    </w:t>
      </w:r>
      <w:r w:rsidRPr="00AA5DC9"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 xml:space="preserve">           </w:t>
      </w:r>
      <w:r w:rsidR="003E7A6F">
        <w:rPr>
          <w:rFonts w:ascii="Times New Roman" w:hAnsi="Times New Roman"/>
          <w:sz w:val="24"/>
        </w:rPr>
        <w:t xml:space="preserve">        </w:t>
      </w:r>
      <w:r w:rsidRPr="00AA5DC9">
        <w:rPr>
          <w:rFonts w:ascii="Times New Roman" w:hAnsi="Times New Roman"/>
          <w:sz w:val="24"/>
        </w:rPr>
        <w:t xml:space="preserve">Date: </w:t>
      </w:r>
      <w:r w:rsidR="005462C0">
        <w:rPr>
          <w:rFonts w:ascii="Times New Roman" w:hAnsi="Times New Roman"/>
          <w:sz w:val="24"/>
        </w:rPr>
        <w:t>22-01-2024</w:t>
      </w:r>
    </w:p>
    <w:p w:rsidR="00AA5DC9" w:rsidRPr="003E7A6F" w:rsidRDefault="00AA5DC9" w:rsidP="003E7A6F">
      <w:pPr>
        <w:spacing w:after="0"/>
        <w:rPr>
          <w:rFonts w:ascii="Times New Roman" w:hAnsi="Times New Roman"/>
          <w:sz w:val="28"/>
          <w:szCs w:val="28"/>
        </w:rPr>
      </w:pPr>
    </w:p>
    <w:p w:rsidR="00490619" w:rsidRPr="003E7A6F" w:rsidRDefault="005462C0" w:rsidP="003E7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7A6F">
        <w:rPr>
          <w:rFonts w:ascii="Times New Roman" w:hAnsi="Times New Roman"/>
          <w:b/>
          <w:sz w:val="28"/>
          <w:szCs w:val="28"/>
        </w:rPr>
        <w:t>Department of ECE</w:t>
      </w:r>
    </w:p>
    <w:p w:rsidR="00AA5DC9" w:rsidRDefault="00AA5DC9" w:rsidP="00AA5DC9">
      <w:pPr>
        <w:jc w:val="center"/>
        <w:rPr>
          <w:rFonts w:ascii="Times New Roman" w:hAnsi="Times New Roman"/>
          <w:b/>
          <w:sz w:val="24"/>
        </w:rPr>
      </w:pPr>
      <w:r w:rsidRPr="00AA5DC9">
        <w:rPr>
          <w:rFonts w:ascii="Times New Roman" w:hAnsi="Times New Roman"/>
          <w:b/>
          <w:sz w:val="24"/>
        </w:rPr>
        <w:t>CIRCULAR</w:t>
      </w:r>
    </w:p>
    <w:p w:rsidR="00490619" w:rsidRPr="00DB128B" w:rsidRDefault="00DB128B" w:rsidP="003E7A6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Sub: </w:t>
      </w:r>
      <w:bookmarkStart w:id="0" w:name="_GoBack"/>
      <w:r w:rsidR="003E7A6F">
        <w:rPr>
          <w:rFonts w:ascii="Times New Roman" w:hAnsi="Times New Roman"/>
          <w:sz w:val="24"/>
        </w:rPr>
        <w:t xml:space="preserve">Reporting of </w:t>
      </w:r>
      <w:r w:rsidR="00490619" w:rsidRPr="00DB128B">
        <w:rPr>
          <w:rFonts w:ascii="Times New Roman" w:hAnsi="Times New Roman"/>
          <w:sz w:val="24"/>
        </w:rPr>
        <w:t>Students</w:t>
      </w:r>
      <w:r>
        <w:rPr>
          <w:rFonts w:ascii="Times New Roman" w:hAnsi="Times New Roman"/>
          <w:sz w:val="24"/>
        </w:rPr>
        <w:t xml:space="preserve"> </w:t>
      </w:r>
      <w:r w:rsidR="003E7A6F">
        <w:rPr>
          <w:rFonts w:ascii="Times New Roman" w:hAnsi="Times New Roman"/>
          <w:sz w:val="24"/>
        </w:rPr>
        <w:t xml:space="preserve">to the department who </w:t>
      </w:r>
      <w:r>
        <w:rPr>
          <w:rFonts w:ascii="Times New Roman" w:hAnsi="Times New Roman"/>
          <w:sz w:val="24"/>
        </w:rPr>
        <w:t>fail</w:t>
      </w:r>
      <w:r w:rsidR="003E7A6F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in courses come</w:t>
      </w:r>
      <w:r w:rsidR="00490619" w:rsidRPr="00DB128B">
        <w:rPr>
          <w:rFonts w:ascii="Times New Roman" w:hAnsi="Times New Roman"/>
          <w:sz w:val="24"/>
        </w:rPr>
        <w:t xml:space="preserve"> under CIE</w:t>
      </w:r>
      <w:r>
        <w:rPr>
          <w:rFonts w:ascii="Times New Roman" w:hAnsi="Times New Roman"/>
          <w:sz w:val="24"/>
        </w:rPr>
        <w:t xml:space="preserve"> – Reg.</w:t>
      </w:r>
      <w:bookmarkEnd w:id="0"/>
    </w:p>
    <w:p w:rsidR="005B0FBC" w:rsidRDefault="002E7E20" w:rsidP="003E7A6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is to inform all the </w:t>
      </w:r>
      <w:r w:rsidR="00D65710">
        <w:rPr>
          <w:rFonts w:ascii="Times New Roman" w:hAnsi="Times New Roman"/>
          <w:sz w:val="24"/>
        </w:rPr>
        <w:t xml:space="preserve">present </w:t>
      </w:r>
      <w:r>
        <w:rPr>
          <w:rFonts w:ascii="Times New Roman" w:hAnsi="Times New Roman"/>
          <w:sz w:val="24"/>
        </w:rPr>
        <w:t>B</w:t>
      </w:r>
      <w:r w:rsidR="00D6571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Tech</w:t>
      </w:r>
      <w:r w:rsidR="00490619">
        <w:rPr>
          <w:rFonts w:ascii="Times New Roman" w:hAnsi="Times New Roman"/>
          <w:sz w:val="24"/>
        </w:rPr>
        <w:t xml:space="preserve"> 2</w:t>
      </w:r>
      <w:r w:rsidR="00490619" w:rsidRPr="00490619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, </w:t>
      </w:r>
      <w:r w:rsidR="00490619">
        <w:rPr>
          <w:rFonts w:ascii="Times New Roman" w:hAnsi="Times New Roman"/>
          <w:sz w:val="24"/>
        </w:rPr>
        <w:t>3</w:t>
      </w:r>
      <w:r w:rsidR="00490619" w:rsidRPr="002E7E20">
        <w:rPr>
          <w:rFonts w:ascii="Times New Roman" w:hAnsi="Times New Roman"/>
          <w:sz w:val="24"/>
          <w:vertAlign w:val="superscript"/>
        </w:rPr>
        <w:t>rd</w:t>
      </w:r>
      <w:r w:rsidR="00490619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4</w:t>
      </w:r>
      <w:r w:rsidRPr="002E7E2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year </w:t>
      </w:r>
      <w:r w:rsidR="006E7827">
        <w:rPr>
          <w:rFonts w:ascii="Times New Roman" w:hAnsi="Times New Roman"/>
          <w:sz w:val="24"/>
        </w:rPr>
        <w:t xml:space="preserve">ECE </w:t>
      </w:r>
      <w:r w:rsidR="005B0FBC">
        <w:rPr>
          <w:rFonts w:ascii="Times New Roman" w:hAnsi="Times New Roman"/>
          <w:sz w:val="24"/>
        </w:rPr>
        <w:t>students</w:t>
      </w:r>
      <w:r w:rsidR="00DB128B">
        <w:rPr>
          <w:rFonts w:ascii="Times New Roman" w:hAnsi="Times New Roman"/>
          <w:sz w:val="24"/>
        </w:rPr>
        <w:t>,</w:t>
      </w:r>
      <w:r w:rsidR="005B0FBC">
        <w:rPr>
          <w:rFonts w:ascii="Times New Roman" w:hAnsi="Times New Roman"/>
          <w:sz w:val="24"/>
        </w:rPr>
        <w:t xml:space="preserve"> </w:t>
      </w:r>
      <w:r w:rsidR="00B1188B">
        <w:rPr>
          <w:rFonts w:ascii="Times New Roman" w:hAnsi="Times New Roman"/>
          <w:sz w:val="24"/>
        </w:rPr>
        <w:t xml:space="preserve">studying under AR20/ AR22 Regulations and </w:t>
      </w:r>
      <w:r w:rsidR="00D65710">
        <w:rPr>
          <w:rFonts w:ascii="Times New Roman" w:hAnsi="Times New Roman"/>
          <w:sz w:val="24"/>
        </w:rPr>
        <w:t xml:space="preserve">students </w:t>
      </w:r>
      <w:r w:rsidR="00DB128B">
        <w:rPr>
          <w:rFonts w:ascii="Times New Roman" w:hAnsi="Times New Roman"/>
          <w:sz w:val="24"/>
        </w:rPr>
        <w:t xml:space="preserve">of </w:t>
      </w:r>
      <w:r w:rsidR="00B1188B">
        <w:rPr>
          <w:rFonts w:ascii="Times New Roman" w:hAnsi="Times New Roman"/>
          <w:sz w:val="24"/>
        </w:rPr>
        <w:t xml:space="preserve">previous </w:t>
      </w:r>
      <w:r w:rsidR="00D65710">
        <w:rPr>
          <w:rFonts w:ascii="Times New Roman" w:hAnsi="Times New Roman"/>
          <w:sz w:val="24"/>
        </w:rPr>
        <w:t xml:space="preserve">batches </w:t>
      </w:r>
      <w:r w:rsidR="00B1188B">
        <w:rPr>
          <w:rFonts w:ascii="Times New Roman" w:hAnsi="Times New Roman"/>
          <w:sz w:val="24"/>
        </w:rPr>
        <w:t>studied under AR18 Regulations</w:t>
      </w:r>
      <w:r w:rsidR="00D65710">
        <w:rPr>
          <w:rFonts w:ascii="Times New Roman" w:hAnsi="Times New Roman"/>
          <w:sz w:val="24"/>
        </w:rPr>
        <w:t xml:space="preserve"> and yet to complete their B. Tech </w:t>
      </w:r>
      <w:r w:rsidR="0034122B">
        <w:rPr>
          <w:rFonts w:ascii="Times New Roman" w:hAnsi="Times New Roman"/>
          <w:sz w:val="24"/>
        </w:rPr>
        <w:t>program</w:t>
      </w:r>
      <w:r w:rsidR="006020A4">
        <w:rPr>
          <w:rFonts w:ascii="Times New Roman" w:hAnsi="Times New Roman"/>
          <w:sz w:val="24"/>
        </w:rPr>
        <w:t>, to</w:t>
      </w:r>
      <w:r w:rsidR="00377C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report to the ECE department on or before </w:t>
      </w:r>
      <w:r w:rsidR="006E7827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.01.</w:t>
      </w:r>
      <w:r w:rsidR="006E782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24</w:t>
      </w:r>
      <w:r w:rsidR="00DB128B">
        <w:rPr>
          <w:rFonts w:ascii="Times New Roman" w:hAnsi="Times New Roman"/>
          <w:sz w:val="24"/>
        </w:rPr>
        <w:t xml:space="preserve">, if they have failed in any of the under mentioned courses which fall under CIE category. </w:t>
      </w:r>
      <w:r w:rsidR="00B1188B">
        <w:rPr>
          <w:rFonts w:ascii="Times New Roman" w:hAnsi="Times New Roman"/>
          <w:sz w:val="24"/>
        </w:rPr>
        <w:t>It is the</w:t>
      </w:r>
      <w:r w:rsidR="003E7A6F">
        <w:rPr>
          <w:rFonts w:ascii="Times New Roman" w:hAnsi="Times New Roman"/>
          <w:sz w:val="24"/>
        </w:rPr>
        <w:t xml:space="preserve"> sole</w:t>
      </w:r>
      <w:r w:rsidR="00B1188B">
        <w:rPr>
          <w:rFonts w:ascii="Times New Roman" w:hAnsi="Times New Roman"/>
          <w:sz w:val="24"/>
        </w:rPr>
        <w:t xml:space="preserve"> responsibility of the student to inform the department </w:t>
      </w:r>
      <w:r w:rsidR="00DB128B">
        <w:rPr>
          <w:rFonts w:ascii="Times New Roman" w:hAnsi="Times New Roman"/>
          <w:sz w:val="24"/>
        </w:rPr>
        <w:t>with necessary proofs</w:t>
      </w:r>
      <w:r w:rsidR="00377CA7">
        <w:rPr>
          <w:rFonts w:ascii="Times New Roman" w:hAnsi="Times New Roman"/>
          <w:sz w:val="24"/>
        </w:rPr>
        <w:t xml:space="preserve">, </w:t>
      </w:r>
      <w:r w:rsidR="006020A4">
        <w:rPr>
          <w:rFonts w:ascii="Times New Roman" w:hAnsi="Times New Roman"/>
          <w:sz w:val="24"/>
        </w:rPr>
        <w:t xml:space="preserve">and </w:t>
      </w:r>
      <w:r w:rsidR="00377CA7">
        <w:rPr>
          <w:rFonts w:ascii="Times New Roman" w:hAnsi="Times New Roman"/>
          <w:sz w:val="24"/>
        </w:rPr>
        <w:t>request for reappearance</w:t>
      </w:r>
      <w:r w:rsidR="00DB128B">
        <w:rPr>
          <w:rFonts w:ascii="Times New Roman" w:hAnsi="Times New Roman"/>
          <w:sz w:val="24"/>
        </w:rPr>
        <w:t xml:space="preserve">, </w:t>
      </w:r>
      <w:r w:rsidR="00B1188B">
        <w:rPr>
          <w:rFonts w:ascii="Times New Roman" w:hAnsi="Times New Roman"/>
          <w:sz w:val="24"/>
        </w:rPr>
        <w:t xml:space="preserve">in case the student </w:t>
      </w:r>
      <w:r w:rsidR="0034122B">
        <w:rPr>
          <w:rFonts w:ascii="Times New Roman" w:hAnsi="Times New Roman"/>
          <w:sz w:val="24"/>
        </w:rPr>
        <w:t>fails in</w:t>
      </w:r>
      <w:r w:rsidR="00B1188B">
        <w:rPr>
          <w:rFonts w:ascii="Times New Roman" w:hAnsi="Times New Roman"/>
          <w:sz w:val="24"/>
        </w:rPr>
        <w:t xml:space="preserve"> any of the</w:t>
      </w:r>
      <w:r w:rsidR="003E7A6F">
        <w:rPr>
          <w:rFonts w:ascii="Times New Roman" w:hAnsi="Times New Roman"/>
          <w:sz w:val="24"/>
        </w:rPr>
        <w:t>se</w:t>
      </w:r>
      <w:r w:rsidR="00B1188B">
        <w:rPr>
          <w:rFonts w:ascii="Times New Roman" w:hAnsi="Times New Roman"/>
          <w:sz w:val="24"/>
        </w:rPr>
        <w:t xml:space="preserve"> courses which come under CIE</w:t>
      </w:r>
      <w:r w:rsidR="00E526AA">
        <w:rPr>
          <w:rFonts w:ascii="Times New Roman" w:hAnsi="Times New Roman"/>
          <w:sz w:val="24"/>
        </w:rPr>
        <w:t xml:space="preserve"> category</w:t>
      </w:r>
      <w:r w:rsidR="0034122B">
        <w:rPr>
          <w:rFonts w:ascii="Times New Roman" w:hAnsi="Times New Roman"/>
          <w:sz w:val="24"/>
        </w:rPr>
        <w:t>.</w:t>
      </w:r>
      <w:r w:rsidR="003E7A6F">
        <w:rPr>
          <w:rFonts w:ascii="Times New Roman" w:hAnsi="Times New Roman"/>
          <w:sz w:val="24"/>
        </w:rPr>
        <w:t xml:space="preserve"> </w:t>
      </w:r>
      <w:r w:rsidR="0034122B">
        <w:rPr>
          <w:rFonts w:ascii="Times New Roman" w:hAnsi="Times New Roman"/>
          <w:sz w:val="24"/>
        </w:rPr>
        <w:t xml:space="preserve">There will not be any liability on the department to consider such cases without any representation from the concerned student. </w:t>
      </w:r>
      <w:r w:rsidR="00B1188B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665"/>
        <w:gridCol w:w="3956"/>
        <w:gridCol w:w="709"/>
        <w:gridCol w:w="1104"/>
      </w:tblGrid>
      <w:tr w:rsidR="007D4B5D" w:rsidRPr="00976968" w:rsidTr="003E7A6F">
        <w:trPr>
          <w:trHeight w:val="332"/>
        </w:trPr>
        <w:tc>
          <w:tcPr>
            <w:tcW w:w="853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 xml:space="preserve">Year </w:t>
            </w:r>
          </w:p>
        </w:tc>
        <w:tc>
          <w:tcPr>
            <w:tcW w:w="1665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Course Code</w:t>
            </w:r>
          </w:p>
        </w:tc>
        <w:tc>
          <w:tcPr>
            <w:tcW w:w="3956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Course</w:t>
            </w:r>
          </w:p>
        </w:tc>
        <w:tc>
          <w:tcPr>
            <w:tcW w:w="709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CIE</w:t>
            </w:r>
          </w:p>
        </w:tc>
        <w:tc>
          <w:tcPr>
            <w:tcW w:w="1104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Credits</w:t>
            </w:r>
          </w:p>
        </w:tc>
      </w:tr>
      <w:tr w:rsidR="007D4B5D" w:rsidRPr="00976968" w:rsidTr="00976968">
        <w:tc>
          <w:tcPr>
            <w:tcW w:w="853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II-I</w:t>
            </w:r>
          </w:p>
        </w:tc>
        <w:tc>
          <w:tcPr>
            <w:tcW w:w="1665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20EN21P01</w:t>
            </w:r>
          </w:p>
        </w:tc>
        <w:tc>
          <w:tcPr>
            <w:tcW w:w="3956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English for Effective Communication</w:t>
            </w:r>
          </w:p>
        </w:tc>
        <w:tc>
          <w:tcPr>
            <w:tcW w:w="709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4B5D" w:rsidRPr="00976968" w:rsidTr="00976968">
        <w:tc>
          <w:tcPr>
            <w:tcW w:w="853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II-II</w:t>
            </w:r>
          </w:p>
        </w:tc>
        <w:tc>
          <w:tcPr>
            <w:tcW w:w="1665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20EN22P01</w:t>
            </w:r>
          </w:p>
        </w:tc>
        <w:tc>
          <w:tcPr>
            <w:tcW w:w="3956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 xml:space="preserve">English for Career Development </w:t>
            </w:r>
          </w:p>
        </w:tc>
        <w:tc>
          <w:tcPr>
            <w:tcW w:w="709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4B5D" w:rsidRPr="00976968" w:rsidTr="00976968">
        <w:tc>
          <w:tcPr>
            <w:tcW w:w="853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II-II</w:t>
            </w:r>
          </w:p>
        </w:tc>
        <w:tc>
          <w:tcPr>
            <w:tcW w:w="1665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20EC22P01</w:t>
            </w:r>
          </w:p>
        </w:tc>
        <w:tc>
          <w:tcPr>
            <w:tcW w:w="3956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 xml:space="preserve">Design Thinking </w:t>
            </w:r>
          </w:p>
        </w:tc>
        <w:tc>
          <w:tcPr>
            <w:tcW w:w="709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D4B5D" w:rsidRPr="00976968" w:rsidTr="00976968">
        <w:tc>
          <w:tcPr>
            <w:tcW w:w="853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III-I</w:t>
            </w:r>
          </w:p>
        </w:tc>
        <w:tc>
          <w:tcPr>
            <w:tcW w:w="1665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20EC31008</w:t>
            </w:r>
          </w:p>
        </w:tc>
        <w:tc>
          <w:tcPr>
            <w:tcW w:w="3956" w:type="dxa"/>
            <w:shd w:val="clear" w:color="auto" w:fill="auto"/>
          </w:tcPr>
          <w:p w:rsidR="007D4B5D" w:rsidRPr="00976968" w:rsidRDefault="007D4B5D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Internship</w:t>
            </w:r>
          </w:p>
        </w:tc>
        <w:tc>
          <w:tcPr>
            <w:tcW w:w="709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D4B5D" w:rsidRPr="00976968" w:rsidTr="00976968">
        <w:tc>
          <w:tcPr>
            <w:tcW w:w="853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III-I</w:t>
            </w:r>
          </w:p>
        </w:tc>
        <w:tc>
          <w:tcPr>
            <w:tcW w:w="1665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20MA31P01</w:t>
            </w:r>
          </w:p>
        </w:tc>
        <w:tc>
          <w:tcPr>
            <w:tcW w:w="3956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 xml:space="preserve">Logical Reasoning-I </w:t>
            </w:r>
          </w:p>
        </w:tc>
        <w:tc>
          <w:tcPr>
            <w:tcW w:w="709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D4B5D" w:rsidRPr="00976968" w:rsidTr="00976968">
        <w:tc>
          <w:tcPr>
            <w:tcW w:w="853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III-II</w:t>
            </w:r>
          </w:p>
        </w:tc>
        <w:tc>
          <w:tcPr>
            <w:tcW w:w="1665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20EN32P01</w:t>
            </w:r>
          </w:p>
        </w:tc>
        <w:tc>
          <w:tcPr>
            <w:tcW w:w="3956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 xml:space="preserve">English for Professional Success </w:t>
            </w:r>
          </w:p>
        </w:tc>
        <w:tc>
          <w:tcPr>
            <w:tcW w:w="709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4B5D" w:rsidRPr="00976968" w:rsidTr="00976968">
        <w:tc>
          <w:tcPr>
            <w:tcW w:w="853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III-II</w:t>
            </w:r>
          </w:p>
        </w:tc>
        <w:tc>
          <w:tcPr>
            <w:tcW w:w="1665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20MA31P01</w:t>
            </w:r>
          </w:p>
        </w:tc>
        <w:tc>
          <w:tcPr>
            <w:tcW w:w="3956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Logical Reasoning-II</w:t>
            </w:r>
          </w:p>
        </w:tc>
        <w:tc>
          <w:tcPr>
            <w:tcW w:w="709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7D4B5D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C6787" w:rsidRPr="00976968" w:rsidTr="00976968">
        <w:tc>
          <w:tcPr>
            <w:tcW w:w="853" w:type="dxa"/>
            <w:shd w:val="clear" w:color="auto" w:fill="auto"/>
          </w:tcPr>
          <w:p w:rsidR="00FC6787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IV-I</w:t>
            </w:r>
          </w:p>
        </w:tc>
        <w:tc>
          <w:tcPr>
            <w:tcW w:w="1665" w:type="dxa"/>
            <w:shd w:val="clear" w:color="auto" w:fill="auto"/>
          </w:tcPr>
          <w:p w:rsidR="00FC6787" w:rsidRPr="00976968" w:rsidRDefault="00FC6787" w:rsidP="00FC6787">
            <w:pPr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20EC41012</w:t>
            </w:r>
          </w:p>
        </w:tc>
        <w:tc>
          <w:tcPr>
            <w:tcW w:w="3956" w:type="dxa"/>
            <w:shd w:val="clear" w:color="auto" w:fill="auto"/>
          </w:tcPr>
          <w:p w:rsidR="00FC6787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Mini Project</w:t>
            </w:r>
          </w:p>
        </w:tc>
        <w:tc>
          <w:tcPr>
            <w:tcW w:w="709" w:type="dxa"/>
            <w:shd w:val="clear" w:color="auto" w:fill="auto"/>
          </w:tcPr>
          <w:p w:rsidR="00FC6787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FC6787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C6787" w:rsidRPr="00976968" w:rsidTr="00976968">
        <w:tc>
          <w:tcPr>
            <w:tcW w:w="853" w:type="dxa"/>
            <w:shd w:val="clear" w:color="auto" w:fill="auto"/>
          </w:tcPr>
          <w:p w:rsidR="00FC6787" w:rsidRPr="00976968" w:rsidRDefault="00FC6787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IV-II</w:t>
            </w:r>
          </w:p>
        </w:tc>
        <w:tc>
          <w:tcPr>
            <w:tcW w:w="1665" w:type="dxa"/>
            <w:shd w:val="clear" w:color="auto" w:fill="auto"/>
          </w:tcPr>
          <w:p w:rsidR="00FC6787" w:rsidRPr="00976968" w:rsidRDefault="00AB5B4A" w:rsidP="00FC6787">
            <w:pPr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20EC42004</w:t>
            </w:r>
          </w:p>
        </w:tc>
        <w:tc>
          <w:tcPr>
            <w:tcW w:w="3956" w:type="dxa"/>
            <w:shd w:val="clear" w:color="auto" w:fill="auto"/>
          </w:tcPr>
          <w:p w:rsidR="00FC6787" w:rsidRPr="00976968" w:rsidRDefault="00AB5B4A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Technical Seminar</w:t>
            </w:r>
          </w:p>
        </w:tc>
        <w:tc>
          <w:tcPr>
            <w:tcW w:w="709" w:type="dxa"/>
            <w:shd w:val="clear" w:color="auto" w:fill="auto"/>
          </w:tcPr>
          <w:p w:rsidR="00FC6787" w:rsidRPr="00976968" w:rsidRDefault="00AB5B4A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FC6787" w:rsidRPr="00976968" w:rsidRDefault="00AB5B4A" w:rsidP="00976968">
            <w:pPr>
              <w:jc w:val="both"/>
              <w:rPr>
                <w:rFonts w:ascii="Times New Roman" w:hAnsi="Times New Roman"/>
                <w:sz w:val="24"/>
              </w:rPr>
            </w:pPr>
            <w:r w:rsidRPr="00976968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504243" w:rsidRDefault="00504243" w:rsidP="003469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4243" w:rsidRDefault="00504243" w:rsidP="003469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4243" w:rsidRDefault="00504243" w:rsidP="003469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4243" w:rsidRDefault="00504243" w:rsidP="003469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605DA" w:rsidRDefault="00504243" w:rsidP="00377CA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504243">
        <w:rPr>
          <w:rFonts w:ascii="Times New Roman" w:hAnsi="Times New Roman"/>
          <w:b/>
          <w:sz w:val="24"/>
        </w:rPr>
        <w:t>Dean</w:t>
      </w:r>
      <w:r>
        <w:rPr>
          <w:rFonts w:ascii="Times New Roman" w:hAnsi="Times New Roman"/>
          <w:sz w:val="24"/>
        </w:rPr>
        <w:t>-SE</w:t>
      </w:r>
      <w:r w:rsidR="00377CA7"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 xml:space="preserve">CE                                                                                 </w:t>
      </w:r>
      <w:r w:rsidR="00346955" w:rsidRPr="00346955">
        <w:rPr>
          <w:rFonts w:ascii="Times New Roman" w:hAnsi="Times New Roman"/>
          <w:b/>
          <w:sz w:val="24"/>
        </w:rPr>
        <w:t>HoD-ECE</w:t>
      </w:r>
    </w:p>
    <w:p w:rsidR="00716E22" w:rsidRDefault="00716E22" w:rsidP="001636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373B" w:rsidRPr="0061373B" w:rsidRDefault="0061373B" w:rsidP="005462C0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1373B" w:rsidRPr="0061373B" w:rsidSect="003E114D">
      <w:pgSz w:w="12240" w:h="15840"/>
      <w:pgMar w:top="81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3D" w:rsidRDefault="000B153D" w:rsidP="001D3D1A">
      <w:pPr>
        <w:spacing w:after="0" w:line="240" w:lineRule="auto"/>
      </w:pPr>
      <w:r>
        <w:separator/>
      </w:r>
    </w:p>
  </w:endnote>
  <w:endnote w:type="continuationSeparator" w:id="0">
    <w:p w:rsidR="000B153D" w:rsidRDefault="000B153D" w:rsidP="001D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3D" w:rsidRDefault="000B153D" w:rsidP="001D3D1A">
      <w:pPr>
        <w:spacing w:after="0" w:line="240" w:lineRule="auto"/>
      </w:pPr>
      <w:r>
        <w:separator/>
      </w:r>
    </w:p>
  </w:footnote>
  <w:footnote w:type="continuationSeparator" w:id="0">
    <w:p w:rsidR="000B153D" w:rsidRDefault="000B153D" w:rsidP="001D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BD5"/>
    <w:multiLevelType w:val="hybridMultilevel"/>
    <w:tmpl w:val="CC988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77FA3"/>
    <w:multiLevelType w:val="hybridMultilevel"/>
    <w:tmpl w:val="0684595E"/>
    <w:lvl w:ilvl="0" w:tplc="CAD030D6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477A"/>
    <w:multiLevelType w:val="hybridMultilevel"/>
    <w:tmpl w:val="ECB8EE06"/>
    <w:lvl w:ilvl="0" w:tplc="E154D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E03C8"/>
    <w:multiLevelType w:val="hybridMultilevel"/>
    <w:tmpl w:val="9908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0017"/>
    <w:multiLevelType w:val="hybridMultilevel"/>
    <w:tmpl w:val="BE183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FB"/>
    <w:rsid w:val="000178F4"/>
    <w:rsid w:val="000B153D"/>
    <w:rsid w:val="001018C6"/>
    <w:rsid w:val="00151846"/>
    <w:rsid w:val="001636F4"/>
    <w:rsid w:val="001D3D1A"/>
    <w:rsid w:val="002E7E20"/>
    <w:rsid w:val="0034122B"/>
    <w:rsid w:val="00346955"/>
    <w:rsid w:val="00377CA7"/>
    <w:rsid w:val="003E114D"/>
    <w:rsid w:val="003E7A6F"/>
    <w:rsid w:val="004605DA"/>
    <w:rsid w:val="00490619"/>
    <w:rsid w:val="00504243"/>
    <w:rsid w:val="0051332E"/>
    <w:rsid w:val="005462C0"/>
    <w:rsid w:val="005A3DAA"/>
    <w:rsid w:val="005B0FBC"/>
    <w:rsid w:val="006020A4"/>
    <w:rsid w:val="0061373B"/>
    <w:rsid w:val="00613FAB"/>
    <w:rsid w:val="006360BD"/>
    <w:rsid w:val="00655CDA"/>
    <w:rsid w:val="006A223C"/>
    <w:rsid w:val="006E7827"/>
    <w:rsid w:val="0071273B"/>
    <w:rsid w:val="00716E22"/>
    <w:rsid w:val="007172A2"/>
    <w:rsid w:val="007233C4"/>
    <w:rsid w:val="007D4B5D"/>
    <w:rsid w:val="009634F9"/>
    <w:rsid w:val="00976968"/>
    <w:rsid w:val="00A03106"/>
    <w:rsid w:val="00A06B41"/>
    <w:rsid w:val="00AA5DC9"/>
    <w:rsid w:val="00AB5B4A"/>
    <w:rsid w:val="00B1188B"/>
    <w:rsid w:val="00B70BCC"/>
    <w:rsid w:val="00B7165B"/>
    <w:rsid w:val="00C126DD"/>
    <w:rsid w:val="00C1677F"/>
    <w:rsid w:val="00C26943"/>
    <w:rsid w:val="00C5430F"/>
    <w:rsid w:val="00D2610E"/>
    <w:rsid w:val="00D65710"/>
    <w:rsid w:val="00DA0DFB"/>
    <w:rsid w:val="00DB128B"/>
    <w:rsid w:val="00E526AA"/>
    <w:rsid w:val="00E65127"/>
    <w:rsid w:val="00EE6230"/>
    <w:rsid w:val="00F3653F"/>
    <w:rsid w:val="00FB539E"/>
    <w:rsid w:val="00FC6787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A8C35-6049-4A74-9299-2DE7D39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3D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D1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D3D1A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D3D1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D3D1A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A5DC9"/>
    <w:pPr>
      <w:ind w:left="720"/>
      <w:contextualSpacing/>
    </w:pPr>
  </w:style>
  <w:style w:type="paragraph" w:customStyle="1" w:styleId="Default">
    <w:name w:val="Default"/>
    <w:rsid w:val="00460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605DA"/>
    <w:rPr>
      <w:color w:val="0000FF"/>
      <w:u w:val="single"/>
    </w:rPr>
  </w:style>
  <w:style w:type="table" w:styleId="TableGrid">
    <w:name w:val="Table Grid"/>
    <w:basedOn w:val="TableNormal"/>
    <w:uiPriority w:val="59"/>
    <w:rsid w:val="007D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ece-dpt</dc:creator>
  <cp:keywords/>
  <cp:lastModifiedBy>root</cp:lastModifiedBy>
  <cp:revision>2</cp:revision>
  <cp:lastPrinted>2023-04-13T06:08:00Z</cp:lastPrinted>
  <dcterms:created xsi:type="dcterms:W3CDTF">2024-02-01T04:31:00Z</dcterms:created>
  <dcterms:modified xsi:type="dcterms:W3CDTF">2024-02-01T04:31:00Z</dcterms:modified>
</cp:coreProperties>
</file>